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Sofia Bourriquand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J'ai effectué mon stage de Première année de BTS Commerce International à Berlin dans une agence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d'événementiels et de voyages. J'ai logé pendant deux mois et demi dans un appartement en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colocation avec d'autres étrangers. Mon appartement était dans le quartier très animé de Kreuzberg.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Mon lieu de stage se trouvait dans le centre de Berlin. La ville est très bien desservie. J'ai beaucoup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appris lors de mon stage et j'ai même eu l'occasion de participer à un événement à Prague. Tout cela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n'aurait pas été possible sans l'aide des bourses que j'ai pu recevoir : celle du Crous, d'Erasmus, et la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BRMI. Il est très agréable de vivre à Berlin.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Je suis revenue en France plus mature et indépendante. C'est une expérience très enrichissante que je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recommande fortement.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</w:pPr>
      <w:r>
        <w:rPr>
          <w:sz w:val="20"/>
        </w:rPr>
        <w:drawing>
          <wp:anchor distT="0" distB="0" distL="0" distR="0" simplePos="0" relativeHeight="251624958" behindDoc="1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-5</wp:posOffset>
            </wp:positionV>
            <wp:extent cx="2387600" cy="3206750"/>
            <wp:effectExtent l="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ofia/AppData/Roaming/PolarisOffice/ETemp/4772_10551600/fImage4142110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20738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0" distR="0" simplePos="0" relativeHeight="251624959" behindDoc="1" locked="0" layoutInCell="1" allowOverlap="1">
            <wp:simplePos x="0" y="0"/>
            <wp:positionH relativeFrom="column">
              <wp:posOffset>3492505</wp:posOffset>
            </wp:positionH>
            <wp:positionV relativeFrom="paragraph">
              <wp:posOffset>8895</wp:posOffset>
            </wp:positionV>
            <wp:extent cx="2328545" cy="3196590"/>
            <wp:effectExtent l="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sofia/AppData/Roaming/PolarisOffice/ETemp/4772_10551600/fImage536131384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19722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14211041.jpeg"></Relationship><Relationship Id="rId6" Type="http://schemas.openxmlformats.org/officeDocument/2006/relationships/image" Target="media/fImage53613138467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Sofia Bourriquand</dc:creator>
  <cp:lastModifiedBy/>
</cp:coreProperties>
</file>